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6E" w:rsidRDefault="007E655D">
      <w:pPr>
        <w:spacing w:after="56" w:line="259" w:lineRule="auto"/>
        <w:ind w:left="3342" w:right="0" w:firstLine="0"/>
        <w:jc w:val="left"/>
      </w:pPr>
      <w:bookmarkStart w:id="0" w:name="_GoBack"/>
      <w:bookmarkEnd w:id="0"/>
      <w:r>
        <w:rPr>
          <w:noProof/>
        </w:rPr>
        <w:drawing>
          <wp:inline distT="0" distB="0" distL="0" distR="0">
            <wp:extent cx="2152650" cy="11719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152650" cy="1171921"/>
                    </a:xfrm>
                    <a:prstGeom prst="rect">
                      <a:avLst/>
                    </a:prstGeom>
                  </pic:spPr>
                </pic:pic>
              </a:graphicData>
            </a:graphic>
          </wp:inline>
        </w:drawing>
      </w:r>
    </w:p>
    <w:p w:rsidR="00C0546E" w:rsidRDefault="007E655D">
      <w:pPr>
        <w:spacing w:after="0" w:line="259" w:lineRule="auto"/>
        <w:ind w:left="360" w:right="0" w:firstLine="0"/>
        <w:jc w:val="left"/>
      </w:pPr>
      <w:r>
        <w:rPr>
          <w:sz w:val="22"/>
        </w:rPr>
        <w:t xml:space="preserve"> </w:t>
      </w:r>
    </w:p>
    <w:p w:rsidR="00C0546E" w:rsidRDefault="007E655D">
      <w:pPr>
        <w:spacing w:after="42" w:line="259" w:lineRule="auto"/>
        <w:ind w:left="1867" w:right="0"/>
        <w:jc w:val="left"/>
      </w:pPr>
      <w:r>
        <w:rPr>
          <w:rFonts w:ascii="Times New Roman" w:eastAsia="Times New Roman" w:hAnsi="Times New Roman" w:cs="Times New Roman"/>
          <w:b/>
          <w:color w:val="691C20"/>
          <w:sz w:val="20"/>
        </w:rPr>
        <w:t xml:space="preserve">ESQUEMA DE CONTRALORÍA SOCIAL EJERCICIO FISCAL 2025  </w:t>
      </w:r>
    </w:p>
    <w:p w:rsidR="00C0546E" w:rsidRDefault="007E655D">
      <w:pPr>
        <w:spacing w:after="0" w:line="259" w:lineRule="auto"/>
        <w:ind w:left="0" w:right="80" w:firstLine="0"/>
        <w:jc w:val="right"/>
      </w:pPr>
      <w:r>
        <w:rPr>
          <w:rFonts w:ascii="Times New Roman" w:eastAsia="Times New Roman" w:hAnsi="Times New Roman" w:cs="Times New Roman"/>
          <w:b/>
          <w:color w:val="691C20"/>
          <w:sz w:val="20"/>
        </w:rPr>
        <w:t>PROGRAMA PARA EL DESARROLLO PROFESIONAL DOCENTE</w:t>
      </w:r>
      <w:r>
        <w:t xml:space="preserve"> </w:t>
      </w:r>
      <w:r>
        <w:rPr>
          <w:rFonts w:ascii="Courier New" w:eastAsia="Courier New" w:hAnsi="Courier New" w:cs="Courier New"/>
          <w:b/>
          <w:color w:val="691C20"/>
          <w:sz w:val="31"/>
          <w:vertAlign w:val="subscript"/>
        </w:rPr>
        <w:t>–</w:t>
      </w:r>
      <w:r>
        <w:rPr>
          <w:rFonts w:ascii="Times New Roman" w:eastAsia="Times New Roman" w:hAnsi="Times New Roman" w:cs="Times New Roman"/>
          <w:b/>
          <w:color w:val="691C20"/>
          <w:sz w:val="20"/>
        </w:rPr>
        <w:t xml:space="preserve"> </w:t>
      </w:r>
      <w:r>
        <w:t>(</w:t>
      </w:r>
      <w:r>
        <w:rPr>
          <w:rFonts w:ascii="Times New Roman" w:eastAsia="Times New Roman" w:hAnsi="Times New Roman" w:cs="Times New Roman"/>
          <w:b/>
          <w:color w:val="691C20"/>
          <w:sz w:val="20"/>
        </w:rPr>
        <w:t xml:space="preserve">173) DIRECCIÓN GENERAL </w:t>
      </w:r>
    </w:p>
    <w:p w:rsidR="00C0546E" w:rsidRDefault="007E655D">
      <w:pPr>
        <w:spacing w:after="42" w:line="259" w:lineRule="auto"/>
        <w:ind w:left="2182" w:right="0"/>
        <w:jc w:val="left"/>
      </w:pPr>
      <w:r>
        <w:rPr>
          <w:rFonts w:ascii="Times New Roman" w:eastAsia="Times New Roman" w:hAnsi="Times New Roman" w:cs="Times New Roman"/>
          <w:b/>
          <w:color w:val="691C20"/>
          <w:sz w:val="20"/>
        </w:rPr>
        <w:t xml:space="preserve">DE FORMACIÓN CONTINUA A DOCENTES Y DIRECTIVOS </w:t>
      </w:r>
    </w:p>
    <w:p w:rsidR="00C0546E" w:rsidRDefault="007E655D">
      <w:pPr>
        <w:spacing w:after="170" w:line="259" w:lineRule="auto"/>
        <w:ind w:left="360" w:right="0" w:firstLine="0"/>
        <w:jc w:val="left"/>
      </w:pPr>
      <w:r>
        <w:rPr>
          <w:sz w:val="20"/>
        </w:rPr>
        <w:t xml:space="preserve"> </w:t>
      </w:r>
    </w:p>
    <w:p w:rsidR="00C0546E" w:rsidRDefault="007E655D">
      <w:pPr>
        <w:numPr>
          <w:ilvl w:val="0"/>
          <w:numId w:val="1"/>
        </w:numPr>
        <w:spacing w:after="196" w:line="259" w:lineRule="auto"/>
        <w:ind w:right="0" w:hanging="360"/>
        <w:jc w:val="left"/>
      </w:pPr>
      <w:r>
        <w:rPr>
          <w:b/>
        </w:rPr>
        <w:t xml:space="preserve">Programas de trabajo que convengan las instancias normativas con las instancias ejecutoras y, en su caso, los que éstas convengan con los órganos estatales de control. </w:t>
      </w:r>
    </w:p>
    <w:p w:rsidR="00C0546E" w:rsidRDefault="007E655D">
      <w:pPr>
        <w:spacing w:after="193"/>
        <w:ind w:right="0"/>
      </w:pPr>
      <w:r>
        <w:t>La Dirección General de Formación Continua a Docentes y Directivos (DGFCDD) con cada un</w:t>
      </w:r>
      <w:r>
        <w:t>a de las Autoridades Educativas de los Estados y de la Ciudad de México acordarán un Programa de Trabajo de la Instancia Ejecutora en donde se establecen las actividades de promoción, operación y seguimiento de contraloría social, los responsables, las met</w:t>
      </w:r>
      <w:r>
        <w:t xml:space="preserve">as, la unidad de medida y el calendario de ejecución. </w:t>
      </w:r>
    </w:p>
    <w:p w:rsidR="00C0546E" w:rsidRDefault="007E655D">
      <w:pPr>
        <w:spacing w:after="193"/>
        <w:ind w:right="0"/>
      </w:pPr>
      <w:r>
        <w:t>Las instancias ejecutoras podrán acordar un Programa Estatal de Trabajo de Contraloría Social con los órganos estatales de control para: a) Difundir el mecanismo de contraloría social, así como los med</w:t>
      </w:r>
      <w:r>
        <w:t>ios institucionales para presentar quejas y denuncias; b) Verificar que la constitución de los comités esté acorde con los documentos normativos de contraloría social validados; c) Distribuir los materiales de difusión a las personas beneficiarias y los co</w:t>
      </w:r>
      <w:r>
        <w:t>mités de contraloría social; d) Capacitar a personas servidoras públicas federales, estatales y municipales; personas beneficiarias de los programas federales y a las personas integrantes de los comités respecto al mecanismo de contraloría social; y e) Rec</w:t>
      </w:r>
      <w:r>
        <w:t xml:space="preserve">opilar los informes de los comités de contraloría social. </w:t>
      </w:r>
    </w:p>
    <w:p w:rsidR="00C0546E" w:rsidRDefault="007E655D">
      <w:pPr>
        <w:numPr>
          <w:ilvl w:val="0"/>
          <w:numId w:val="1"/>
        </w:numPr>
        <w:spacing w:after="196" w:line="259" w:lineRule="auto"/>
        <w:ind w:right="0" w:hanging="36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9410981</wp:posOffset>
                </wp:positionV>
                <wp:extent cx="7762874" cy="647419"/>
                <wp:effectExtent l="0" t="0" r="0" b="0"/>
                <wp:wrapTopAndBottom/>
                <wp:docPr id="3110" name="Group 3110"/>
                <wp:cNvGraphicFramePr/>
                <a:graphic xmlns:a="http://schemas.openxmlformats.org/drawingml/2006/main">
                  <a:graphicData uri="http://schemas.microsoft.com/office/word/2010/wordprocessingGroup">
                    <wpg:wgp>
                      <wpg:cNvGrpSpPr/>
                      <wpg:grpSpPr>
                        <a:xfrm>
                          <a:off x="0" y="0"/>
                          <a:ext cx="7762874" cy="647419"/>
                          <a:chOff x="0" y="0"/>
                          <a:chExt cx="7762874" cy="647419"/>
                        </a:xfrm>
                      </wpg:grpSpPr>
                      <pic:pic xmlns:pic="http://schemas.openxmlformats.org/drawingml/2006/picture">
                        <pic:nvPicPr>
                          <pic:cNvPr id="3771" name="Picture 3771"/>
                          <pic:cNvPicPr/>
                        </pic:nvPicPr>
                        <pic:blipFill>
                          <a:blip r:embed="rId8"/>
                          <a:stretch>
                            <a:fillRect/>
                          </a:stretch>
                        </pic:blipFill>
                        <pic:spPr>
                          <a:xfrm>
                            <a:off x="-3428" y="-3836"/>
                            <a:ext cx="7766304" cy="649225"/>
                          </a:xfrm>
                          <a:prstGeom prst="rect">
                            <a:avLst/>
                          </a:prstGeom>
                        </pic:spPr>
                      </pic:pic>
                      <wps:wsp>
                        <wps:cNvPr id="9" name="Rectangle 9"/>
                        <wps:cNvSpPr/>
                        <wps:spPr>
                          <a:xfrm>
                            <a:off x="891159" y="54632"/>
                            <a:ext cx="42144" cy="189936"/>
                          </a:xfrm>
                          <a:prstGeom prst="rect">
                            <a:avLst/>
                          </a:prstGeom>
                          <a:ln>
                            <a:noFill/>
                          </a:ln>
                        </wps:spPr>
                        <wps:txbx>
                          <w:txbxContent>
                            <w:p w:rsidR="00C0546E" w:rsidRDefault="007E655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110" style="width:611.25pt;height:50.9779pt;position:absolute;mso-position-horizontal-relative:page;mso-position-horizontal:absolute;margin-left:0.75pt;mso-position-vertical-relative:page;margin-top:741.022pt;" coordsize="77628,6474">
                <v:shape id="Picture 3771" style="position:absolute;width:77663;height:6492;left:-34;top:-38;" filled="f">
                  <v:imagedata r:id="rId9"/>
                </v:shape>
                <v:rect id="Rectangle 9" style="position:absolute;width:421;height:1899;left:8911;top:546;"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topAndBottom"/>
              </v:group>
            </w:pict>
          </mc:Fallback>
        </mc:AlternateContent>
      </w:r>
      <w:r>
        <w:rPr>
          <w:b/>
        </w:rPr>
        <w:t xml:space="preserve">Actividades de contraloría social y los procedimientos para realizarlas, así como los medios por los cuales se difundirá la información relacionada con el programa federal. </w:t>
      </w:r>
    </w:p>
    <w:p w:rsidR="00C0546E" w:rsidRDefault="007E655D">
      <w:pPr>
        <w:spacing w:after="125"/>
        <w:ind w:right="0"/>
      </w:pPr>
      <w:r>
        <w:t xml:space="preserve">La Instancia Normativa realizará las siguientes actividades: </w:t>
      </w:r>
    </w:p>
    <w:p w:rsidR="00C0546E" w:rsidRDefault="007E655D">
      <w:pPr>
        <w:numPr>
          <w:ilvl w:val="2"/>
          <w:numId w:val="3"/>
        </w:numPr>
        <w:spacing w:after="35"/>
        <w:ind w:right="0" w:hanging="360"/>
      </w:pPr>
      <w:r>
        <w:t xml:space="preserve">Designar a la persona servidora pública que fungirá como Enlace de Contraloría Social de la instancia normativa; </w:t>
      </w:r>
    </w:p>
    <w:p w:rsidR="00C0546E" w:rsidRDefault="007E655D">
      <w:pPr>
        <w:numPr>
          <w:ilvl w:val="2"/>
          <w:numId w:val="3"/>
        </w:numPr>
        <w:spacing w:after="33"/>
        <w:ind w:right="0" w:hanging="360"/>
      </w:pPr>
      <w:r>
        <w:t>Elaborar y entregar los documentos normativos de contraloría social (Esquema, Gu</w:t>
      </w:r>
      <w:r>
        <w:t xml:space="preserve">ía Operativa y Programa Anual de Trabajo de Contraloría Social) a la unidad administrativa competente de la Secretaría, para realizar el proceso de revisión y validación; </w:t>
      </w:r>
    </w:p>
    <w:p w:rsidR="00C0546E" w:rsidRDefault="007E655D">
      <w:pPr>
        <w:numPr>
          <w:ilvl w:val="2"/>
          <w:numId w:val="3"/>
        </w:numPr>
        <w:ind w:right="0" w:hanging="360"/>
      </w:pPr>
      <w:r>
        <w:t xml:space="preserve">Entregar los documentos normativos de contraloría social validados a las instancias </w:t>
      </w:r>
      <w:r>
        <w:t xml:space="preserve">ejecutoras; </w:t>
      </w:r>
    </w:p>
    <w:p w:rsidR="00C0546E" w:rsidRDefault="007E655D">
      <w:pPr>
        <w:numPr>
          <w:ilvl w:val="2"/>
          <w:numId w:val="3"/>
        </w:numPr>
        <w:spacing w:after="36"/>
        <w:ind w:right="0" w:hanging="360"/>
      </w:pPr>
      <w:r>
        <w:t xml:space="preserve">Publicar en su portal institucional los documentos normativos de contraloría social validados por la unidad administrativa competente de la Secretaría; </w:t>
      </w:r>
    </w:p>
    <w:p w:rsidR="00C0546E" w:rsidRDefault="007E655D">
      <w:pPr>
        <w:numPr>
          <w:ilvl w:val="2"/>
          <w:numId w:val="3"/>
        </w:numPr>
        <w:ind w:right="0" w:hanging="360"/>
      </w:pPr>
      <w:r>
        <w:t xml:space="preserve">Elaborar y asignar material de difusión y capacitación a las instancias ejecutoras; </w:t>
      </w:r>
    </w:p>
    <w:p w:rsidR="00C0546E" w:rsidRDefault="007E655D">
      <w:pPr>
        <w:numPr>
          <w:ilvl w:val="2"/>
          <w:numId w:val="3"/>
        </w:numPr>
        <w:ind w:right="0" w:hanging="360"/>
      </w:pPr>
      <w:r>
        <w:t>Capac</w:t>
      </w:r>
      <w:r>
        <w:t xml:space="preserve">itar y asesorar a las personas servidoras públicas de las instancias ejecutoras; </w:t>
      </w:r>
    </w:p>
    <w:p w:rsidR="00C0546E" w:rsidRDefault="007E655D">
      <w:pPr>
        <w:numPr>
          <w:ilvl w:val="2"/>
          <w:numId w:val="3"/>
        </w:numPr>
        <w:ind w:right="0" w:hanging="360"/>
      </w:pPr>
      <w:r>
        <w:t xml:space="preserve">Aprobar el (los) programa(s) de trabajo de la(s) instancia(s) ejecutora(s); </w:t>
      </w:r>
    </w:p>
    <w:p w:rsidR="00C0546E" w:rsidRDefault="007E655D">
      <w:pPr>
        <w:numPr>
          <w:ilvl w:val="2"/>
          <w:numId w:val="3"/>
        </w:numPr>
        <w:ind w:right="0" w:hanging="360"/>
      </w:pPr>
      <w:r>
        <w:t xml:space="preserve">Elaborar un informe de resultados de contraloría social; </w:t>
      </w:r>
    </w:p>
    <w:p w:rsidR="00C0546E" w:rsidRDefault="007E655D">
      <w:pPr>
        <w:numPr>
          <w:ilvl w:val="2"/>
          <w:numId w:val="3"/>
        </w:numPr>
        <w:spacing w:after="35"/>
        <w:ind w:right="0" w:hanging="360"/>
      </w:pPr>
      <w:r>
        <w:t>Dar seguimiento a la captación, atenció</w:t>
      </w:r>
      <w:r>
        <w:t xml:space="preserve">n y canalización de las denuncias, quejas y/o sugerencias que los comités o personas beneficiarias presenten; y </w:t>
      </w:r>
    </w:p>
    <w:p w:rsidR="00C0546E" w:rsidRDefault="007E655D">
      <w:pPr>
        <w:numPr>
          <w:ilvl w:val="2"/>
          <w:numId w:val="3"/>
        </w:numPr>
        <w:spacing w:after="193"/>
        <w:ind w:right="0" w:hanging="360"/>
      </w:pPr>
      <w:r>
        <w:t xml:space="preserve">Registrar información en el Sistema Informático de Contraloría Social (SICS) en el perfil de instancia normativa. </w:t>
      </w:r>
    </w:p>
    <w:p w:rsidR="00C0546E" w:rsidRDefault="007E655D">
      <w:pPr>
        <w:spacing w:after="125"/>
        <w:ind w:left="371" w:right="0"/>
      </w:pPr>
      <w:r>
        <w:t>Las instancias ejecutoras re</w:t>
      </w:r>
      <w:r>
        <w:t xml:space="preserve">alizarán las siguientes actividades: </w:t>
      </w:r>
    </w:p>
    <w:p w:rsidR="00C0546E" w:rsidRDefault="007E655D">
      <w:pPr>
        <w:numPr>
          <w:ilvl w:val="2"/>
          <w:numId w:val="3"/>
        </w:numPr>
        <w:spacing w:after="36"/>
        <w:ind w:right="0" w:hanging="360"/>
      </w:pPr>
      <w:r>
        <w:t xml:space="preserve">Designar a la persona servidora pública que fungirá como enlace de contraloría social de la instancia ejecutora; </w:t>
      </w:r>
    </w:p>
    <w:p w:rsidR="00C0546E" w:rsidRDefault="007E655D">
      <w:pPr>
        <w:numPr>
          <w:ilvl w:val="2"/>
          <w:numId w:val="3"/>
        </w:numPr>
        <w:ind w:right="0" w:hanging="360"/>
      </w:pPr>
      <w:r>
        <w:t xml:space="preserve">Elaborar y registrar el Programa de Trabajo de la Instancia Ejecutora; </w:t>
      </w:r>
    </w:p>
    <w:p w:rsidR="00C0546E" w:rsidRDefault="007E655D">
      <w:pPr>
        <w:numPr>
          <w:ilvl w:val="2"/>
          <w:numId w:val="3"/>
        </w:numPr>
        <w:ind w:right="0" w:hanging="360"/>
      </w:pPr>
      <w:r>
        <w:t xml:space="preserve">Promover la constitución de los comités de contraloría social; </w:t>
      </w:r>
    </w:p>
    <w:p w:rsidR="00C0546E" w:rsidRDefault="007E655D">
      <w:pPr>
        <w:numPr>
          <w:ilvl w:val="2"/>
          <w:numId w:val="3"/>
        </w:numPr>
        <w:ind w:right="0" w:hanging="360"/>
      </w:pPr>
      <w:r>
        <w:t xml:space="preserve">Capacitar y asesorar a las personas que integran los comités de contraloría social; </w:t>
      </w:r>
    </w:p>
    <w:p w:rsidR="00C0546E" w:rsidRDefault="007E655D">
      <w:pPr>
        <w:numPr>
          <w:ilvl w:val="2"/>
          <w:numId w:val="3"/>
        </w:numPr>
        <w:ind w:right="0" w:hanging="360"/>
      </w:pPr>
      <w:r>
        <w:t xml:space="preserve">Elaborar y entregar el material de capacitación y difusión a los comités de contraloría social; </w:t>
      </w:r>
    </w:p>
    <w:p w:rsidR="00C0546E" w:rsidRDefault="007E655D">
      <w:pPr>
        <w:numPr>
          <w:ilvl w:val="2"/>
          <w:numId w:val="3"/>
        </w:numPr>
        <w:ind w:right="0" w:hanging="360"/>
      </w:pPr>
      <w:r>
        <w:lastRenderedPageBreak/>
        <w:t xml:space="preserve">Realizar reuniones con las personas beneficiarias e integrantes de los comités de contraloría social; </w:t>
      </w:r>
    </w:p>
    <w:p w:rsidR="00C0546E" w:rsidRDefault="007E655D">
      <w:pPr>
        <w:numPr>
          <w:ilvl w:val="2"/>
          <w:numId w:val="3"/>
        </w:numPr>
        <w:ind w:right="0" w:hanging="360"/>
      </w:pPr>
      <w:r>
        <w:t xml:space="preserve">Recopilar informes del comité de contraloría social; </w:t>
      </w:r>
    </w:p>
    <w:p w:rsidR="00C0546E" w:rsidRDefault="007E655D">
      <w:pPr>
        <w:numPr>
          <w:ilvl w:val="2"/>
          <w:numId w:val="3"/>
        </w:numPr>
        <w:spacing w:after="34"/>
        <w:ind w:right="0" w:hanging="360"/>
      </w:pPr>
      <w:r>
        <w:t>Captar, atender y canalizar las denuncias, quejas y/o sugerencias que los comités o personas benefi</w:t>
      </w:r>
      <w:r>
        <w:t xml:space="preserve">ciarias presenten; </w:t>
      </w:r>
    </w:p>
    <w:p w:rsidR="00C0546E" w:rsidRDefault="007E655D">
      <w:pPr>
        <w:numPr>
          <w:ilvl w:val="2"/>
          <w:numId w:val="3"/>
        </w:numPr>
        <w:ind w:right="0" w:hanging="360"/>
      </w:pPr>
      <w:r>
        <w:t xml:space="preserve">Registrar información en el SICS en el perfil de instancia ejecutora; y </w:t>
      </w:r>
    </w:p>
    <w:p w:rsidR="00C0546E" w:rsidRDefault="007E655D">
      <w:pPr>
        <w:numPr>
          <w:ilvl w:val="2"/>
          <w:numId w:val="3"/>
        </w:numPr>
        <w:spacing w:after="94"/>
        <w:ind w:right="0" w:hanging="360"/>
      </w:pPr>
      <w:r>
        <w:t xml:space="preserve">Dar seguimiento a las actividades de contraloría social. </w:t>
      </w:r>
    </w:p>
    <w:p w:rsidR="00C0546E" w:rsidRDefault="007E655D">
      <w:pPr>
        <w:spacing w:after="193"/>
        <w:ind w:right="0"/>
      </w:pPr>
      <w:r>
        <w:t>Una vez validados y aprobados los documentos normativos de contraloría social, la Instancia Normativa los</w:t>
      </w:r>
      <w:r>
        <w:t xml:space="preserve"> difundirá en su página de interne</w:t>
      </w:r>
      <w:hyperlink r:id="rId10">
        <w:r>
          <w:t xml:space="preserve">t </w:t>
        </w:r>
      </w:hyperlink>
      <w:hyperlink r:id="rId11">
        <w:r>
          <w:rPr>
            <w:i/>
            <w:color w:val="0563C1"/>
            <w:u w:val="single" w:color="0563C1"/>
          </w:rPr>
          <w:t>https://formacioncontinua.sep.gob.mx/</w:t>
        </w:r>
      </w:hyperlink>
      <w:hyperlink r:id="rId12">
        <w:r>
          <w:rPr>
            <w:i/>
          </w:rPr>
          <w:t xml:space="preserve"> </w:t>
        </w:r>
      </w:hyperlink>
      <w:hyperlink r:id="rId13">
        <w:r>
          <w:t>y</w:t>
        </w:r>
      </w:hyperlink>
      <w:r>
        <w:t xml:space="preserve"> la notificará a las instancias ejecutoras para que puedan consultar dichos documentos. </w:t>
      </w:r>
    </w:p>
    <w:p w:rsidR="00C0546E" w:rsidRDefault="007E655D">
      <w:pPr>
        <w:spacing w:after="200"/>
        <w:ind w:right="0"/>
      </w:pPr>
      <w:r>
        <w:t>La DGFCDD como Instancia Normativa difundirá la información del programa federal y del mecanismo de contraloría social m</w:t>
      </w:r>
      <w:r>
        <w:t xml:space="preserve">ediante materiales impresos y/o digitales a través de medios físicos y/o electrónicos. </w:t>
      </w:r>
    </w:p>
    <w:p w:rsidR="00C0546E" w:rsidRDefault="007E655D">
      <w:pPr>
        <w:spacing w:after="193"/>
        <w:ind w:right="0"/>
      </w:pPr>
      <w:r>
        <w:t xml:space="preserve">La DGFCDD proporcionará el material de difusión a </w:t>
      </w:r>
      <w:r>
        <w:t>las instancias ejecutoras</w:t>
      </w:r>
      <w:r>
        <w:t xml:space="preserve"> y, a su vez, deberá instruir a estas la forma de entrega a los comités de contraloría social</w:t>
      </w:r>
      <w:r>
        <w:t xml:space="preserve"> y a las personas beneficiarias. Adicionalmente, las instancias ejecutoras podrán elaborar materiales propios, previa autorización de la Instancia Normativa. </w:t>
      </w:r>
    </w:p>
    <w:p w:rsidR="00C0546E" w:rsidRDefault="007E655D">
      <w:pPr>
        <w:numPr>
          <w:ilvl w:val="0"/>
          <w:numId w:val="1"/>
        </w:numPr>
        <w:spacing w:after="196" w:line="259" w:lineRule="auto"/>
        <w:ind w:right="0" w:hanging="360"/>
        <w:jc w:val="left"/>
      </w:pPr>
      <w:r>
        <w:rPr>
          <w:b/>
        </w:rPr>
        <w:t>Responsables de promover la constitución de los comités de contraloría social y de proporcionar l</w:t>
      </w:r>
      <w:r>
        <w:rPr>
          <w:b/>
        </w:rPr>
        <w:t xml:space="preserve">a capacitación y asesoría a los mismos, así como de la captación de sus informes. </w:t>
      </w:r>
    </w:p>
    <w:p w:rsidR="00C0546E" w:rsidRDefault="007E655D">
      <w:pPr>
        <w:spacing w:after="193"/>
        <w:ind w:right="0"/>
      </w:pPr>
      <w:r>
        <w:t xml:space="preserve">Las instancias ejecutoras serán las responsables de promover la constitución de los comités de contraloría social y de proporcionar la capacitación y asesoría a los mismos, </w:t>
      </w:r>
      <w:r>
        <w:t>así como de la captación de sus informes; los procedimientos para realizar dichas actividades serán descritos en la Guía Operativa.</w:t>
      </w:r>
      <w:r>
        <w:rPr>
          <w:b/>
        </w:rPr>
        <w:t xml:space="preserve"> </w:t>
      </w:r>
    </w:p>
    <w:p w:rsidR="00C0546E" w:rsidRDefault="007E655D">
      <w:pPr>
        <w:numPr>
          <w:ilvl w:val="0"/>
          <w:numId w:val="1"/>
        </w:numPr>
        <w:spacing w:after="101" w:line="259" w:lineRule="auto"/>
        <w:ind w:right="0" w:hanging="360"/>
        <w:jc w:val="left"/>
      </w:pPr>
      <w:r>
        <w:rPr>
          <w:b/>
        </w:rPr>
        <w:t xml:space="preserve">Mecanismos de seguimiento de las actividades de contraloría social, así como de sus resultados. </w:t>
      </w:r>
    </w:p>
    <w:p w:rsidR="00C0546E" w:rsidRDefault="007E655D">
      <w:pPr>
        <w:spacing w:after="192"/>
        <w:ind w:right="0"/>
      </w:pPr>
      <w:r>
        <w:t xml:space="preserve">La Instancia Normativa y </w:t>
      </w:r>
      <w:r>
        <w:t>l</w:t>
      </w:r>
      <w:r>
        <w:t>as instancias ejecutoras</w:t>
      </w:r>
      <w:r>
        <w:t xml:space="preserve"> registrarán en el SICS las actividades de promoción de contraloría social realizadas considerando los siguientes perfiles. </w:t>
      </w:r>
    </w:p>
    <w:p w:rsidR="00C0546E" w:rsidRDefault="007E655D">
      <w:pPr>
        <w:spacing w:after="126"/>
        <w:ind w:right="0"/>
      </w:pPr>
      <w:r>
        <w:t xml:space="preserve">En el perfil Instancia Normativa se registrarán: </w:t>
      </w:r>
    </w:p>
    <w:p w:rsidR="00C0546E" w:rsidRDefault="007E655D">
      <w:pPr>
        <w:numPr>
          <w:ilvl w:val="2"/>
          <w:numId w:val="4"/>
        </w:numPr>
        <w:ind w:left="1055" w:right="0" w:hanging="281"/>
      </w:pPr>
      <w:r>
        <w:t xml:space="preserve">Documentos normativos de contraloría social; </w:t>
      </w:r>
    </w:p>
    <w:p w:rsidR="00C0546E" w:rsidRDefault="007E655D">
      <w:pPr>
        <w:numPr>
          <w:ilvl w:val="2"/>
          <w:numId w:val="4"/>
        </w:numPr>
        <w:ind w:left="1055" w:right="0" w:hanging="281"/>
      </w:pPr>
      <w:r>
        <w:t xml:space="preserve">Características del programa federal; </w:t>
      </w:r>
    </w:p>
    <w:p w:rsidR="00C0546E" w:rsidRDefault="007E655D">
      <w:pPr>
        <w:numPr>
          <w:ilvl w:val="2"/>
          <w:numId w:val="4"/>
        </w:numPr>
        <w:ind w:left="1055" w:right="0" w:hanging="281"/>
      </w:pPr>
      <w:r>
        <w:t xml:space="preserve">Presupuesto; </w:t>
      </w:r>
    </w:p>
    <w:p w:rsidR="00C0546E" w:rsidRDefault="007E655D">
      <w:pPr>
        <w:numPr>
          <w:ilvl w:val="2"/>
          <w:numId w:val="4"/>
        </w:numPr>
        <w:ind w:left="1055" w:right="0" w:hanging="281"/>
      </w:pPr>
      <w:r>
        <w:t xml:space="preserve">Tipos de beneficios que otorga el programa federal; </w:t>
      </w:r>
    </w:p>
    <w:p w:rsidR="00C0546E" w:rsidRDefault="007E655D">
      <w:pPr>
        <w:numPr>
          <w:ilvl w:val="2"/>
          <w:numId w:val="4"/>
        </w:numPr>
        <w:ind w:left="1055" w:right="0" w:hanging="281"/>
      </w:pPr>
      <w:r>
        <w:t xml:space="preserve">Administración de usuario(s) y creación de cuenta(s) de la(s) instancia(s) ejecutora(s); </w:t>
      </w:r>
    </w:p>
    <w:p w:rsidR="00C0546E" w:rsidRDefault="007E655D">
      <w:pPr>
        <w:numPr>
          <w:ilvl w:val="2"/>
          <w:numId w:val="4"/>
        </w:numPr>
        <w:ind w:left="1055" w:right="0" w:hanging="281"/>
      </w:pPr>
      <w:r>
        <w:t xml:space="preserve">Asignación de los materiales de difusión y capacitación; </w:t>
      </w:r>
    </w:p>
    <w:p w:rsidR="00C0546E" w:rsidRDefault="007E655D">
      <w:pPr>
        <w:numPr>
          <w:ilvl w:val="2"/>
          <w:numId w:val="4"/>
        </w:numPr>
        <w:ind w:left="1055" w:right="0" w:hanging="281"/>
      </w:pPr>
      <w:r>
        <w:t>Ev</w:t>
      </w:r>
      <w:r>
        <w:t xml:space="preserve">entos de capacitación y asesoría, e </w:t>
      </w:r>
    </w:p>
    <w:p w:rsidR="00C0546E" w:rsidRDefault="007E655D">
      <w:pPr>
        <w:numPr>
          <w:ilvl w:val="2"/>
          <w:numId w:val="4"/>
        </w:numPr>
        <w:spacing w:after="95"/>
        <w:ind w:left="1055" w:right="0" w:hanging="281"/>
      </w:pPr>
      <w:r>
        <w:t xml:space="preserve">Informe de Resultados de Contraloría Social. </w:t>
      </w:r>
    </w:p>
    <w:p w:rsidR="00C0546E" w:rsidRDefault="007E655D">
      <w:pPr>
        <w:spacing w:after="125"/>
        <w:ind w:right="0"/>
      </w:pPr>
      <w:r>
        <w:t xml:space="preserve">En el Perfil Instancia Ejecutora se registrarán: </w:t>
      </w:r>
    </w:p>
    <w:p w:rsidR="00C0546E" w:rsidRDefault="007E655D">
      <w:pPr>
        <w:numPr>
          <w:ilvl w:val="2"/>
          <w:numId w:val="4"/>
        </w:numPr>
        <w:ind w:left="1055" w:right="0" w:hanging="281"/>
      </w:pPr>
      <w:r>
        <w:t xml:space="preserve">Programa de Trabajo de Contraloría Social de la Instancia Ejecutora; </w:t>
      </w:r>
    </w:p>
    <w:p w:rsidR="00C0546E" w:rsidRDefault="007E655D">
      <w:pPr>
        <w:numPr>
          <w:ilvl w:val="2"/>
          <w:numId w:val="4"/>
        </w:numPr>
        <w:ind w:left="1055" w:right="0" w:hanging="281"/>
      </w:pPr>
      <w:r>
        <w:t xml:space="preserve">Actividades de seguimiento; </w:t>
      </w:r>
    </w:p>
    <w:p w:rsidR="00C0546E" w:rsidRDefault="007E655D">
      <w:pPr>
        <w:numPr>
          <w:ilvl w:val="2"/>
          <w:numId w:val="4"/>
        </w:numPr>
        <w:ind w:left="1055" w:right="0" w:hanging="281"/>
      </w:pPr>
      <w:r>
        <w:t>Distribución de los mate</w:t>
      </w:r>
      <w:r>
        <w:t xml:space="preserve">riales de difusión y capacitación; </w:t>
      </w:r>
    </w:p>
    <w:p w:rsidR="00C0546E" w:rsidRDefault="007E655D">
      <w:pPr>
        <w:numPr>
          <w:ilvl w:val="2"/>
          <w:numId w:val="4"/>
        </w:numPr>
        <w:ind w:left="1055" w:right="0" w:hanging="281"/>
      </w:pPr>
      <w:r>
        <w:t xml:space="preserve">Eventos de capacitación y asesoría; </w:t>
      </w:r>
    </w:p>
    <w:p w:rsidR="00C0546E" w:rsidRDefault="007E655D">
      <w:pPr>
        <w:numPr>
          <w:ilvl w:val="2"/>
          <w:numId w:val="4"/>
        </w:numPr>
        <w:ind w:left="1055" w:right="0" w:hanging="281"/>
      </w:pPr>
      <w:r>
        <w:t xml:space="preserve">Reuniones; </w:t>
      </w:r>
    </w:p>
    <w:p w:rsidR="00C0546E" w:rsidRDefault="007E655D">
      <w:pPr>
        <w:numPr>
          <w:ilvl w:val="2"/>
          <w:numId w:val="4"/>
        </w:numPr>
        <w:ind w:left="1055" w:right="0" w:hanging="281"/>
      </w:pPr>
      <w:r>
        <w:t xml:space="preserve">Beneficios (apoyo, obra o servicios vigilados); </w:t>
      </w:r>
    </w:p>
    <w:p w:rsidR="00C0546E" w:rsidRDefault="007E655D">
      <w:pPr>
        <w:numPr>
          <w:ilvl w:val="2"/>
          <w:numId w:val="4"/>
        </w:numPr>
        <w:ind w:left="1055" w:right="0" w:hanging="281"/>
      </w:pPr>
      <w:r>
        <w:t xml:space="preserve">Comités de Contraloría Social; e </w:t>
      </w:r>
    </w:p>
    <w:p w:rsidR="00C0546E" w:rsidRDefault="007E655D">
      <w:pPr>
        <w:numPr>
          <w:ilvl w:val="2"/>
          <w:numId w:val="4"/>
        </w:numPr>
        <w:spacing w:after="95"/>
        <w:ind w:left="1055" w:right="0" w:hanging="281"/>
      </w:pPr>
      <w:r>
        <w:t xml:space="preserve">Informes de Comité de Contraloría Social. </w:t>
      </w:r>
    </w:p>
    <w:p w:rsidR="00C0546E" w:rsidRDefault="007E655D">
      <w:pPr>
        <w:spacing w:after="193"/>
        <w:ind w:right="0"/>
      </w:pPr>
      <w:r>
        <w:t xml:space="preserve">La Instancia Normativa dará el seguimiento de las actividades de promoción de contraloría social realizadas por </w:t>
      </w:r>
      <w:r>
        <w:t>las instancias ejecutoras</w:t>
      </w:r>
      <w:r>
        <w:t xml:space="preserve"> mediante solicitud de informes que éstas definan y los registros en el SICS. </w:t>
      </w:r>
    </w:p>
    <w:p w:rsidR="00C0546E" w:rsidRDefault="007E655D">
      <w:pPr>
        <w:spacing w:after="193"/>
        <w:ind w:right="0"/>
      </w:pPr>
      <w:r>
        <w:t>Derivado de sus actividades de seguimien</w:t>
      </w:r>
      <w:r>
        <w:t>to, enviará a la unidad administrativa competente de la Secretaría, durante el primer bimestre del ejercicio fiscal siguiente, un informe de resultados de contraloría social, identificando las áreas de oportunidad en la implementación de acciones de mejora</w:t>
      </w:r>
      <w:r>
        <w:t xml:space="preserve"> o correctivas. </w:t>
      </w:r>
    </w:p>
    <w:p w:rsidR="00C0546E" w:rsidRDefault="007E655D">
      <w:pPr>
        <w:numPr>
          <w:ilvl w:val="0"/>
          <w:numId w:val="1"/>
        </w:numPr>
        <w:spacing w:after="101" w:line="259" w:lineRule="auto"/>
        <w:ind w:right="0" w:hanging="360"/>
        <w:jc w:val="left"/>
      </w:pPr>
      <w:r>
        <w:rPr>
          <w:b/>
        </w:rPr>
        <w:t xml:space="preserve">Actividades a desarrollar por los comités de contraloría social </w:t>
      </w:r>
    </w:p>
    <w:p w:rsidR="00C0546E" w:rsidRDefault="007E655D">
      <w:pPr>
        <w:spacing w:after="201"/>
        <w:ind w:left="371" w:right="0"/>
      </w:pPr>
      <w:r>
        <w:t xml:space="preserve">Los comités de contraloría social podrán realizar las siguientes actividades: </w:t>
      </w:r>
    </w:p>
    <w:p w:rsidR="00C0546E" w:rsidRDefault="007E655D">
      <w:pPr>
        <w:ind w:left="618" w:right="0" w:firstLine="60"/>
      </w:pPr>
      <w:r>
        <w:t>I.</w:t>
      </w:r>
      <w:r>
        <w:rPr>
          <w:rFonts w:ascii="Arial" w:eastAsia="Arial" w:hAnsi="Arial" w:cs="Arial"/>
          <w:sz w:val="28"/>
          <w:vertAlign w:val="subscript"/>
        </w:rPr>
        <w:t xml:space="preserve"> </w:t>
      </w:r>
      <w:r>
        <w:t>Solicitar a la instancia normativa, oficinas de representación federal o a la instancia ejecutora la información pública relacionada con la operación del programa federal; II.</w:t>
      </w:r>
      <w:r>
        <w:rPr>
          <w:rFonts w:ascii="Arial" w:eastAsia="Arial" w:hAnsi="Arial" w:cs="Arial"/>
          <w:sz w:val="28"/>
          <w:vertAlign w:val="subscript"/>
        </w:rPr>
        <w:t xml:space="preserve"> </w:t>
      </w:r>
      <w:r>
        <w:t xml:space="preserve">Vigilar que: </w:t>
      </w:r>
    </w:p>
    <w:p w:rsidR="00C0546E" w:rsidRDefault="007E655D">
      <w:pPr>
        <w:numPr>
          <w:ilvl w:val="2"/>
          <w:numId w:val="5"/>
        </w:numPr>
        <w:ind w:right="0" w:hanging="286"/>
      </w:pPr>
      <w:r>
        <w:t>Se difunda información suficiente, veraz y oportuna sobre la opera</w:t>
      </w:r>
      <w:r>
        <w:t xml:space="preserve">ción del programa federal; </w:t>
      </w:r>
    </w:p>
    <w:p w:rsidR="00C0546E" w:rsidRDefault="007E655D">
      <w:pPr>
        <w:numPr>
          <w:ilvl w:val="2"/>
          <w:numId w:val="5"/>
        </w:numPr>
        <w:spacing w:after="33"/>
        <w:ind w:right="0" w:hanging="286"/>
      </w:pPr>
      <w:r>
        <w:t xml:space="preserve">El ejercicio de los recursos públicos para los beneficios otorgados por el programa federal sea oportuno, transparente, observante de las reglas de operación y, en su caso, de la normativa aplicable; </w:t>
      </w:r>
    </w:p>
    <w:p w:rsidR="00C0546E" w:rsidRDefault="007E655D">
      <w:pPr>
        <w:numPr>
          <w:ilvl w:val="2"/>
          <w:numId w:val="5"/>
        </w:numPr>
        <w:spacing w:after="34"/>
        <w:ind w:right="0" w:hanging="286"/>
      </w:pPr>
      <w:r>
        <w:t xml:space="preserve">Las personas beneficiarias </w:t>
      </w:r>
      <w:r>
        <w:t xml:space="preserve">del programa federal cumplan con los requisitos de acuerdo con la normativa aplicable; </w:t>
      </w:r>
    </w:p>
    <w:p w:rsidR="00C0546E" w:rsidRDefault="007E655D">
      <w:pPr>
        <w:numPr>
          <w:ilvl w:val="2"/>
          <w:numId w:val="5"/>
        </w:numPr>
        <w:ind w:right="0" w:hanging="286"/>
      </w:pPr>
      <w:r>
        <w:t xml:space="preserve">Se cumpla con los periodos de ejecución y entrega de los beneficios; </w:t>
      </w:r>
    </w:p>
    <w:p w:rsidR="00C0546E" w:rsidRDefault="007E655D">
      <w:pPr>
        <w:numPr>
          <w:ilvl w:val="2"/>
          <w:numId w:val="5"/>
        </w:numPr>
        <w:spacing w:after="35"/>
        <w:ind w:right="0" w:hanging="286"/>
      </w:pPr>
      <w:r>
        <w:t>Exista documentación comprobatoria del ejercicio de los recursos públicos y de la entrega de los b</w:t>
      </w:r>
      <w:r>
        <w:t xml:space="preserve">eneficios; </w:t>
      </w:r>
    </w:p>
    <w:p w:rsidR="00C0546E" w:rsidRDefault="007E655D">
      <w:pPr>
        <w:numPr>
          <w:ilvl w:val="2"/>
          <w:numId w:val="5"/>
        </w:numPr>
        <w:spacing w:after="35"/>
        <w:ind w:right="0" w:hanging="286"/>
      </w:pPr>
      <w:r>
        <w:t xml:space="preserve">El programa federal no se utilice con fines políticos, electorales, de promoción personal, de lucro u otros distintos al objeto del programa federal; </w:t>
      </w:r>
    </w:p>
    <w:p w:rsidR="00C0546E" w:rsidRDefault="007E655D">
      <w:pPr>
        <w:numPr>
          <w:ilvl w:val="2"/>
          <w:numId w:val="5"/>
        </w:numPr>
        <w:ind w:right="0" w:hanging="286"/>
      </w:pPr>
      <w:r>
        <w:t xml:space="preserve">El programa federal se ejecute en un marco de igualdad entre mujeres y hombres; y </w:t>
      </w:r>
    </w:p>
    <w:p w:rsidR="00C0546E" w:rsidRDefault="007E655D">
      <w:pPr>
        <w:numPr>
          <w:ilvl w:val="2"/>
          <w:numId w:val="5"/>
        </w:numPr>
        <w:spacing w:after="34"/>
        <w:ind w:right="0" w:hanging="286"/>
      </w:pPr>
      <w:r>
        <w:t>Las autori</w:t>
      </w:r>
      <w:r>
        <w:t xml:space="preserve">dades competentes den atención a las quejas y denuncias relacionadas con el programa federal. </w:t>
      </w:r>
    </w:p>
    <w:p w:rsidR="00C0546E" w:rsidRDefault="007E655D">
      <w:pPr>
        <w:numPr>
          <w:ilvl w:val="1"/>
          <w:numId w:val="2"/>
        </w:numPr>
        <w:spacing w:after="34"/>
        <w:ind w:left="1077" w:right="0" w:hanging="514"/>
      </w:pPr>
      <w:r>
        <w:t xml:space="preserve">Elaborar informes de los resultados de las actividades de operación de la contraloría social realizadas, así como dar seguimiento, en su caso, a los mismos; y </w:t>
      </w:r>
    </w:p>
    <w:p w:rsidR="00C0546E" w:rsidRDefault="007E655D">
      <w:pPr>
        <w:numPr>
          <w:ilvl w:val="1"/>
          <w:numId w:val="2"/>
        </w:numPr>
        <w:spacing w:after="193"/>
        <w:ind w:left="1077" w:right="0" w:hanging="514"/>
      </w:pPr>
      <w:r>
        <w:t>R</w:t>
      </w:r>
      <w:r>
        <w:t xml:space="preserve">ecibir las quejas y denuncias sobre la aplicación y ejecución de los programas federales, recabar la información de estas y canalizarlas a las autoridades competentes para su atención. </w:t>
      </w:r>
    </w:p>
    <w:p w:rsidR="00C0546E" w:rsidRDefault="007E655D">
      <w:pPr>
        <w:numPr>
          <w:ilvl w:val="0"/>
          <w:numId w:val="1"/>
        </w:numPr>
        <w:spacing w:after="101" w:line="259" w:lineRule="auto"/>
        <w:ind w:right="0" w:hanging="360"/>
        <w:jc w:val="left"/>
      </w:pPr>
      <w:r>
        <w:rPr>
          <w:b/>
        </w:rPr>
        <w:t xml:space="preserve">Mecanismos para presentar quejas y denuncias. </w:t>
      </w:r>
    </w:p>
    <w:p w:rsidR="00C0546E" w:rsidRDefault="007E655D">
      <w:pPr>
        <w:spacing w:after="34"/>
        <w:ind w:left="371" w:right="0"/>
      </w:pPr>
      <w:r>
        <w:t xml:space="preserve">En caso de detectar irregularidades en la ejecución del programa federal se podrán presentar quejas y denuncias mediante los siguientes mecanismos: </w:t>
      </w:r>
    </w:p>
    <w:p w:rsidR="00C0546E" w:rsidRDefault="007E655D">
      <w:pPr>
        <w:spacing w:after="45" w:line="259" w:lineRule="auto"/>
        <w:ind w:left="361" w:right="0" w:firstLine="0"/>
        <w:jc w:val="left"/>
      </w:pPr>
      <w:r>
        <w:rPr>
          <w:b/>
        </w:rPr>
        <w:t xml:space="preserve"> </w:t>
      </w:r>
    </w:p>
    <w:p w:rsidR="00C0546E" w:rsidRDefault="007E655D">
      <w:pPr>
        <w:numPr>
          <w:ilvl w:val="1"/>
          <w:numId w:val="1"/>
        </w:numPr>
        <w:ind w:left="1055" w:right="0" w:hanging="281"/>
      </w:pPr>
      <w:r>
        <w:t xml:space="preserve">Mecanismos de la Secretaría de la Anticorrupción y Buen Gobierno: </w:t>
      </w:r>
    </w:p>
    <w:p w:rsidR="00C0546E" w:rsidRDefault="007E655D">
      <w:pPr>
        <w:spacing w:after="43" w:line="259" w:lineRule="auto"/>
        <w:ind w:left="1069" w:right="0" w:firstLine="0"/>
        <w:jc w:val="left"/>
      </w:pPr>
      <w:r>
        <w:t xml:space="preserve"> </w:t>
      </w:r>
    </w:p>
    <w:p w:rsidR="00C0546E" w:rsidRDefault="007E655D">
      <w:pPr>
        <w:spacing w:after="33"/>
        <w:ind w:left="1079" w:right="0"/>
      </w:pPr>
      <w:r>
        <w:t>Las denuncias podrán realizarse a tr</w:t>
      </w:r>
      <w:r>
        <w:t>avés del Sistema Integral de Denuncias Ciudadanas (SIDEC) en la liga https://sidec.buengobierno.gob.mx las 24 horas del día, los 365 días del año; o mediante escrito presentado en la Secretaría Anticorrupción y Buen Gobierno, ubicada en Avenida Insurgentes</w:t>
      </w:r>
      <w:r>
        <w:t xml:space="preserve"> Sur 1735, Colonia Guadalupe Inn, C. P. 01020, Alcaldía Álvaro Obregón, Ciudad de México. </w:t>
      </w:r>
    </w:p>
    <w:p w:rsidR="00C0546E" w:rsidRDefault="007E655D">
      <w:pPr>
        <w:spacing w:after="43" w:line="259" w:lineRule="auto"/>
        <w:ind w:left="787" w:right="0" w:firstLine="0"/>
        <w:jc w:val="left"/>
      </w:pPr>
      <w:r>
        <w:t xml:space="preserve"> </w:t>
      </w:r>
    </w:p>
    <w:p w:rsidR="00C0546E" w:rsidRDefault="007E655D">
      <w:pPr>
        <w:spacing w:after="34"/>
        <w:ind w:left="1078" w:right="0"/>
      </w:pPr>
      <w:r>
        <w:t xml:space="preserve">En caso de requerir asesoría en la presentación de denuncias, podrán comunicarse a los teléfonos 55 2000 2000 y al número gratuito 800 112 87 00. </w:t>
      </w:r>
    </w:p>
    <w:p w:rsidR="00C0546E" w:rsidRDefault="007E655D">
      <w:pPr>
        <w:spacing w:after="49" w:line="259" w:lineRule="auto"/>
        <w:ind w:left="787" w:right="0" w:firstLine="0"/>
        <w:jc w:val="left"/>
      </w:pPr>
      <w:r>
        <w:t xml:space="preserve"> </w:t>
      </w:r>
    </w:p>
    <w:p w:rsidR="00C0546E" w:rsidRDefault="007E655D">
      <w:pPr>
        <w:numPr>
          <w:ilvl w:val="1"/>
          <w:numId w:val="1"/>
        </w:numPr>
        <w:ind w:left="1055" w:right="0" w:hanging="281"/>
      </w:pPr>
      <w:r>
        <w:t xml:space="preserve">Secretaría de </w:t>
      </w:r>
      <w:r>
        <w:t xml:space="preserve">Educación Pública: </w:t>
      </w:r>
    </w:p>
    <w:p w:rsidR="00C0546E" w:rsidRDefault="007E655D">
      <w:pPr>
        <w:ind w:left="1090" w:right="86"/>
      </w:pPr>
      <w:r>
        <w:t xml:space="preserve">a los teléfonos de la SEP: TELSEP (01 55) 36 01 75 99 en la Ciudad de México o al 01 800 288 6688 (Lada sin costo). También puede realizarse en el correo electrónico: contraloria.social@nube.seb.gob.mx, correspondiente a la instancia normativa. </w:t>
      </w:r>
    </w:p>
    <w:p w:rsidR="00C0546E" w:rsidRDefault="007E655D">
      <w:pPr>
        <w:spacing w:after="46" w:line="259" w:lineRule="auto"/>
        <w:ind w:left="788" w:right="0" w:firstLine="0"/>
        <w:jc w:val="left"/>
      </w:pPr>
      <w:r>
        <w:t xml:space="preserve"> </w:t>
      </w:r>
    </w:p>
    <w:p w:rsidR="00C0546E" w:rsidRDefault="007E655D">
      <w:pPr>
        <w:numPr>
          <w:ilvl w:val="1"/>
          <w:numId w:val="1"/>
        </w:numPr>
        <w:ind w:left="1055" w:right="0" w:hanging="281"/>
      </w:pPr>
      <w:r>
        <w:t>Órgano I</w:t>
      </w:r>
      <w:r>
        <w:t xml:space="preserve">nterno de Control de la SEP: </w:t>
      </w:r>
    </w:p>
    <w:p w:rsidR="00C0546E" w:rsidRDefault="007E655D">
      <w:pPr>
        <w:spacing w:after="43" w:line="259" w:lineRule="auto"/>
        <w:ind w:left="220" w:right="0" w:firstLine="0"/>
        <w:jc w:val="center"/>
      </w:pPr>
      <w:r>
        <w:t xml:space="preserve">en los teléfonos (01 55) 36 01 8799 y (01 55) 36 01 84 00, en la ext. 48543 (Ciudad de México). </w:t>
      </w:r>
    </w:p>
    <w:p w:rsidR="00C0546E" w:rsidRDefault="007E655D">
      <w:pPr>
        <w:spacing w:after="49" w:line="259" w:lineRule="auto"/>
        <w:ind w:left="788" w:right="0" w:firstLine="0"/>
        <w:jc w:val="left"/>
      </w:pPr>
      <w:r>
        <w:t xml:space="preserve"> </w:t>
      </w:r>
    </w:p>
    <w:p w:rsidR="00C0546E" w:rsidRDefault="007E655D">
      <w:pPr>
        <w:numPr>
          <w:ilvl w:val="1"/>
          <w:numId w:val="1"/>
        </w:numPr>
        <w:ind w:left="1055" w:right="0" w:hanging="281"/>
      </w:pPr>
      <w:r>
        <w:t xml:space="preserve">Órgano Estatal de Control (OEC): </w:t>
      </w:r>
    </w:p>
    <w:p w:rsidR="00C0546E" w:rsidRDefault="007E655D">
      <w:pPr>
        <w:spacing w:after="214"/>
        <w:ind w:left="1078" w:right="0"/>
      </w:pPr>
      <w:r>
        <w:t>Las instancias ejecutoras podrán coordinarse en las entidades federativas para señalar los me</w:t>
      </w:r>
      <w:r>
        <w:t xml:space="preserve">canismos del OEC correspondiente en los materiales de difusión y capacitación. </w:t>
      </w:r>
    </w:p>
    <w:p w:rsidR="00C0546E" w:rsidRDefault="007E655D">
      <w:pPr>
        <w:spacing w:after="0" w:line="259" w:lineRule="auto"/>
        <w:ind w:left="360" w:right="0" w:firstLine="0"/>
        <w:jc w:val="left"/>
      </w:pPr>
      <w:r>
        <w:rPr>
          <w:sz w:val="20"/>
        </w:rPr>
        <w:t xml:space="preserve"> </w:t>
      </w:r>
    </w:p>
    <w:sectPr w:rsidR="00C0546E">
      <w:headerReference w:type="even" r:id="rId14"/>
      <w:headerReference w:type="default" r:id="rId15"/>
      <w:footerReference w:type="even" r:id="rId16"/>
      <w:footerReference w:type="default" r:id="rId17"/>
      <w:headerReference w:type="first" r:id="rId18"/>
      <w:footerReference w:type="first" r:id="rId19"/>
      <w:pgSz w:w="12240" w:h="15840"/>
      <w:pgMar w:top="210" w:right="1463" w:bottom="1091" w:left="105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655D">
      <w:pPr>
        <w:spacing w:after="0" w:line="240" w:lineRule="auto"/>
      </w:pPr>
      <w:r>
        <w:separator/>
      </w:r>
    </w:p>
  </w:endnote>
  <w:endnote w:type="continuationSeparator" w:id="0">
    <w:p w:rsidR="00000000" w:rsidRDefault="007E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7E655D">
    <w:pPr>
      <w:spacing w:after="0" w:line="259" w:lineRule="auto"/>
      <w:ind w:left="-1058" w:right="10777"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9297009</wp:posOffset>
              </wp:positionV>
              <wp:extent cx="7767318" cy="733841"/>
              <wp:effectExtent l="0" t="0" r="0" b="0"/>
              <wp:wrapSquare wrapText="bothSides"/>
              <wp:docPr id="3808" name="Group 3808"/>
              <wp:cNvGraphicFramePr/>
              <a:graphic xmlns:a="http://schemas.openxmlformats.org/drawingml/2006/main">
                <a:graphicData uri="http://schemas.microsoft.com/office/word/2010/wordprocessingGroup">
                  <wpg:wgp>
                    <wpg:cNvGrpSpPr/>
                    <wpg:grpSpPr>
                      <a:xfrm>
                        <a:off x="0" y="0"/>
                        <a:ext cx="7767318" cy="733841"/>
                        <a:chOff x="0" y="0"/>
                        <a:chExt cx="7767318" cy="733841"/>
                      </a:xfrm>
                    </wpg:grpSpPr>
                    <pic:pic xmlns:pic="http://schemas.openxmlformats.org/drawingml/2006/picture">
                      <pic:nvPicPr>
                        <pic:cNvPr id="3809" name="Picture 3809"/>
                        <pic:cNvPicPr/>
                      </pic:nvPicPr>
                      <pic:blipFill>
                        <a:blip r:embed="rId1"/>
                        <a:stretch>
                          <a:fillRect/>
                        </a:stretch>
                      </pic:blipFill>
                      <pic:spPr>
                        <a:xfrm>
                          <a:off x="-2031" y="-1624"/>
                          <a:ext cx="7769352" cy="734568"/>
                        </a:xfrm>
                        <a:prstGeom prst="rect">
                          <a:avLst/>
                        </a:prstGeom>
                      </pic:spPr>
                    </pic:pic>
                    <wps:wsp>
                      <wps:cNvPr id="3810" name="Rectangle 3810"/>
                      <wps:cNvSpPr/>
                      <wps:spPr>
                        <a:xfrm>
                          <a:off x="3832352" y="0"/>
                          <a:ext cx="86347" cy="185311"/>
                        </a:xfrm>
                        <a:prstGeom prst="rect">
                          <a:avLst/>
                        </a:prstGeom>
                        <a:ln>
                          <a:noFill/>
                        </a:ln>
                      </wps:spPr>
                      <wps:txbx>
                        <w:txbxContent>
                          <w:p w:rsidR="00C0546E" w:rsidRDefault="007E655D">
                            <w:pPr>
                              <w:spacing w:after="160" w:line="259" w:lineRule="auto"/>
                              <w:ind w:left="0" w:right="0" w:firstLine="0"/>
                              <w:jc w:val="left"/>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3811" name="Rectangle 3811"/>
                      <wps:cNvSpPr/>
                      <wps:spPr>
                        <a:xfrm>
                          <a:off x="3897846" y="0"/>
                          <a:ext cx="39829" cy="185311"/>
                        </a:xfrm>
                        <a:prstGeom prst="rect">
                          <a:avLst/>
                        </a:prstGeom>
                        <a:ln>
                          <a:noFill/>
                        </a:ln>
                      </wps:spPr>
                      <wps:txbx>
                        <w:txbxContent>
                          <w:p w:rsidR="00C0546E" w:rsidRDefault="007E655D">
                            <w:pPr>
                              <w:spacing w:after="160" w:line="259" w:lineRule="auto"/>
                              <w:ind w:left="0" w:right="0" w:firstLine="0"/>
                              <w:jc w:val="left"/>
                            </w:pPr>
                            <w:r>
                              <w:t xml:space="preserve"> </w:t>
                            </w:r>
                          </w:p>
                        </w:txbxContent>
                      </wps:txbx>
                      <wps:bodyPr horzOverflow="overflow" vert="horz" lIns="0" tIns="0" rIns="0" bIns="0" rtlCol="0">
                        <a:noAutofit/>
                      </wps:bodyPr>
                    </wps:wsp>
                    <wps:wsp>
                      <wps:cNvPr id="3812" name="Rectangle 3812"/>
                      <wps:cNvSpPr/>
                      <wps:spPr>
                        <a:xfrm>
                          <a:off x="895604" y="168555"/>
                          <a:ext cx="42144" cy="189936"/>
                        </a:xfrm>
                        <a:prstGeom prst="rect">
                          <a:avLst/>
                        </a:prstGeom>
                        <a:ln>
                          <a:noFill/>
                        </a:ln>
                      </wps:spPr>
                      <wps:txbx>
                        <w:txbxContent>
                          <w:p w:rsidR="00C0546E" w:rsidRDefault="007E655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08" style="width:611.6pt;height:57.7828pt;position:absolute;mso-position-horizontal-relative:page;mso-position-horizontal:absolute;margin-left:0.4pt;mso-position-vertical-relative:page;margin-top:732.048pt;" coordsize="77673,7338">
              <v:shape id="Picture 3809" style="position:absolute;width:77693;height:7345;left:-20;top:-16;" filled="f">
                <v:imagedata r:id="rId11"/>
              </v:shape>
              <v:rect id="Rectangle 3810" style="position:absolute;width:863;height:1853;left:38323;top:0;" filled="f" stroked="f">
                <v:textbox inset="0,0,0,0">
                  <w:txbxContent>
                    <w:p>
                      <w:pPr>
                        <w:spacing w:before="0" w:after="160" w:line="259" w:lineRule="auto"/>
                        <w:ind w:left="0" w:right="0" w:firstLine="0"/>
                        <w:jc w:val="left"/>
                      </w:pPr>
                      <w:fldSimple w:instr=" PAGE   \* MERGEFORMAT ">
                        <w:r>
                          <w:rPr>
                            <w:rFonts w:cs="Calibri" w:hAnsi="Calibri" w:eastAsia="Calibri" w:ascii="Calibri"/>
                          </w:rPr>
                          <w:t xml:space="preserve">2</w:t>
                        </w:r>
                      </w:fldSimple>
                    </w:p>
                  </w:txbxContent>
                </v:textbox>
              </v:rect>
              <v:rect id="Rectangle 3811" style="position:absolute;width:398;height:1853;left:38978;top: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812" style="position:absolute;width:421;height:1899;left:8956;top:168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7E655D">
    <w:pPr>
      <w:spacing w:after="0" w:line="259" w:lineRule="auto"/>
      <w:ind w:left="-1058" w:right="10777"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5080</wp:posOffset>
              </wp:positionH>
              <wp:positionV relativeFrom="page">
                <wp:posOffset>9297009</wp:posOffset>
              </wp:positionV>
              <wp:extent cx="7767318" cy="733841"/>
              <wp:effectExtent l="0" t="0" r="0" b="0"/>
              <wp:wrapSquare wrapText="bothSides"/>
              <wp:docPr id="3789" name="Group 3789"/>
              <wp:cNvGraphicFramePr/>
              <a:graphic xmlns:a="http://schemas.openxmlformats.org/drawingml/2006/main">
                <a:graphicData uri="http://schemas.microsoft.com/office/word/2010/wordprocessingGroup">
                  <wpg:wgp>
                    <wpg:cNvGrpSpPr/>
                    <wpg:grpSpPr>
                      <a:xfrm>
                        <a:off x="0" y="0"/>
                        <a:ext cx="7767318" cy="733841"/>
                        <a:chOff x="0" y="0"/>
                        <a:chExt cx="7767318" cy="733841"/>
                      </a:xfrm>
                    </wpg:grpSpPr>
                    <pic:pic xmlns:pic="http://schemas.openxmlformats.org/drawingml/2006/picture">
                      <pic:nvPicPr>
                        <pic:cNvPr id="3790" name="Picture 3790"/>
                        <pic:cNvPicPr/>
                      </pic:nvPicPr>
                      <pic:blipFill>
                        <a:blip r:embed="rId1"/>
                        <a:stretch>
                          <a:fillRect/>
                        </a:stretch>
                      </pic:blipFill>
                      <pic:spPr>
                        <a:xfrm>
                          <a:off x="-2031" y="-1624"/>
                          <a:ext cx="7769352" cy="734568"/>
                        </a:xfrm>
                        <a:prstGeom prst="rect">
                          <a:avLst/>
                        </a:prstGeom>
                      </pic:spPr>
                    </pic:pic>
                    <wps:wsp>
                      <wps:cNvPr id="3791" name="Rectangle 3791"/>
                      <wps:cNvSpPr/>
                      <wps:spPr>
                        <a:xfrm>
                          <a:off x="3832352" y="0"/>
                          <a:ext cx="86347" cy="185311"/>
                        </a:xfrm>
                        <a:prstGeom prst="rect">
                          <a:avLst/>
                        </a:prstGeom>
                        <a:ln>
                          <a:noFill/>
                        </a:ln>
                      </wps:spPr>
                      <wps:txbx>
                        <w:txbxContent>
                          <w:p w:rsidR="00C0546E" w:rsidRDefault="007E655D">
                            <w:pPr>
                              <w:spacing w:after="160" w:line="259" w:lineRule="auto"/>
                              <w:ind w:left="0" w:right="0" w:firstLine="0"/>
                              <w:jc w:val="left"/>
                            </w:pPr>
                            <w:r>
                              <w:fldChar w:fldCharType="begin"/>
                            </w:r>
                            <w:r>
                              <w:instrText xml:space="preserve"> PAGE   \* MERGEFORMAT </w:instrText>
                            </w:r>
                            <w:r>
                              <w:fldChar w:fldCharType="separate"/>
                            </w:r>
                            <w:r>
                              <w:t>2</w:t>
                            </w:r>
                            <w:r>
                              <w:fldChar w:fldCharType="end"/>
                            </w:r>
                          </w:p>
                        </w:txbxContent>
                      </wps:txbx>
                      <wps:bodyPr horzOverflow="overflow" vert="horz" lIns="0" tIns="0" rIns="0" bIns="0" rtlCol="0">
                        <a:noAutofit/>
                      </wps:bodyPr>
                    </wps:wsp>
                    <wps:wsp>
                      <wps:cNvPr id="3792" name="Rectangle 3792"/>
                      <wps:cNvSpPr/>
                      <wps:spPr>
                        <a:xfrm>
                          <a:off x="3897846" y="0"/>
                          <a:ext cx="39829" cy="185311"/>
                        </a:xfrm>
                        <a:prstGeom prst="rect">
                          <a:avLst/>
                        </a:prstGeom>
                        <a:ln>
                          <a:noFill/>
                        </a:ln>
                      </wps:spPr>
                      <wps:txbx>
                        <w:txbxContent>
                          <w:p w:rsidR="00C0546E" w:rsidRDefault="007E655D">
                            <w:pPr>
                              <w:spacing w:after="160" w:line="259" w:lineRule="auto"/>
                              <w:ind w:left="0" w:right="0" w:firstLine="0"/>
                              <w:jc w:val="left"/>
                            </w:pPr>
                            <w:r>
                              <w:t xml:space="preserve"> </w:t>
                            </w:r>
                          </w:p>
                        </w:txbxContent>
                      </wps:txbx>
                      <wps:bodyPr horzOverflow="overflow" vert="horz" lIns="0" tIns="0" rIns="0" bIns="0" rtlCol="0">
                        <a:noAutofit/>
                      </wps:bodyPr>
                    </wps:wsp>
                    <wps:wsp>
                      <wps:cNvPr id="3793" name="Rectangle 3793"/>
                      <wps:cNvSpPr/>
                      <wps:spPr>
                        <a:xfrm>
                          <a:off x="895604" y="168555"/>
                          <a:ext cx="42144" cy="189936"/>
                        </a:xfrm>
                        <a:prstGeom prst="rect">
                          <a:avLst/>
                        </a:prstGeom>
                        <a:ln>
                          <a:noFill/>
                        </a:ln>
                      </wps:spPr>
                      <wps:txbx>
                        <w:txbxContent>
                          <w:p w:rsidR="00C0546E" w:rsidRDefault="007E655D">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789" style="width:611.6pt;height:57.7828pt;position:absolute;mso-position-horizontal-relative:page;mso-position-horizontal:absolute;margin-left:0.4pt;mso-position-vertical-relative:page;margin-top:732.048pt;" coordsize="77673,7338">
              <v:shape id="Picture 3790" style="position:absolute;width:77693;height:7345;left:-20;top:-16;" filled="f">
                <v:imagedata r:id="rId11"/>
              </v:shape>
              <v:rect id="Rectangle 3791" style="position:absolute;width:863;height:1853;left:38323;top:0;" filled="f" stroked="f">
                <v:textbox inset="0,0,0,0">
                  <w:txbxContent>
                    <w:p>
                      <w:pPr>
                        <w:spacing w:before="0" w:after="160" w:line="259" w:lineRule="auto"/>
                        <w:ind w:left="0" w:right="0" w:firstLine="0"/>
                        <w:jc w:val="left"/>
                      </w:pPr>
                      <w:fldSimple w:instr=" PAGE   \* MERGEFORMAT ">
                        <w:r>
                          <w:rPr>
                            <w:rFonts w:cs="Calibri" w:hAnsi="Calibri" w:eastAsia="Calibri" w:ascii="Calibri"/>
                          </w:rPr>
                          <w:t xml:space="preserve">2</w:t>
                        </w:r>
                      </w:fldSimple>
                    </w:p>
                  </w:txbxContent>
                </v:textbox>
              </v:rect>
              <v:rect id="Rectangle 3792" style="position:absolute;width:398;height:1853;left:38978;top: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3793" style="position:absolute;width:421;height:1899;left:8956;top:1685;"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C054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655D">
      <w:pPr>
        <w:spacing w:after="0" w:line="240" w:lineRule="auto"/>
      </w:pPr>
      <w:r>
        <w:separator/>
      </w:r>
    </w:p>
  </w:footnote>
  <w:footnote w:type="continuationSeparator" w:id="0">
    <w:p w:rsidR="00000000" w:rsidRDefault="007E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7E655D">
    <w:pPr>
      <w:spacing w:after="0" w:line="259" w:lineRule="auto"/>
      <w:ind w:left="360" w:right="4" w:firstLine="0"/>
      <w:jc w:val="left"/>
    </w:pPr>
    <w:r>
      <w:rPr>
        <w:noProof/>
      </w:rPr>
      <w:drawing>
        <wp:anchor distT="0" distB="0" distL="114300" distR="114300" simplePos="0" relativeHeight="251658240" behindDoc="0" locked="0" layoutInCell="1" allowOverlap="0">
          <wp:simplePos x="0" y="0"/>
          <wp:positionH relativeFrom="page">
            <wp:posOffset>762000</wp:posOffset>
          </wp:positionH>
          <wp:positionV relativeFrom="page">
            <wp:posOffset>361950</wp:posOffset>
          </wp:positionV>
          <wp:extent cx="2758440" cy="594360"/>
          <wp:effectExtent l="0" t="0" r="0" b="0"/>
          <wp:wrapSquare wrapText="bothSides"/>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2758440" cy="59436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3907789</wp:posOffset>
          </wp:positionH>
          <wp:positionV relativeFrom="page">
            <wp:posOffset>228601</wp:posOffset>
          </wp:positionV>
          <wp:extent cx="2933065" cy="828675"/>
          <wp:effectExtent l="0" t="0" r="0" b="0"/>
          <wp:wrapSquare wrapText="bothSides"/>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2"/>
                  <a:stretch>
                    <a:fillRect/>
                  </a:stretch>
                </pic:blipFill>
                <pic:spPr>
                  <a:xfrm>
                    <a:off x="0" y="0"/>
                    <a:ext cx="2933065" cy="82867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7E655D">
    <w:pPr>
      <w:spacing w:after="0" w:line="259" w:lineRule="auto"/>
      <w:ind w:left="360" w:right="4" w:firstLine="0"/>
      <w:jc w:val="left"/>
    </w:pPr>
    <w:r>
      <w:rPr>
        <w:noProof/>
      </w:rPr>
      <w:drawing>
        <wp:anchor distT="0" distB="0" distL="114300" distR="114300" simplePos="0" relativeHeight="251660288" behindDoc="0" locked="0" layoutInCell="1" allowOverlap="0">
          <wp:simplePos x="0" y="0"/>
          <wp:positionH relativeFrom="page">
            <wp:posOffset>762000</wp:posOffset>
          </wp:positionH>
          <wp:positionV relativeFrom="page">
            <wp:posOffset>361950</wp:posOffset>
          </wp:positionV>
          <wp:extent cx="2758440" cy="594360"/>
          <wp:effectExtent l="0" t="0" r="0" b="0"/>
          <wp:wrapSquare wrapText="bothSides"/>
          <wp:docPr id="1"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2758440" cy="59436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3907789</wp:posOffset>
          </wp:positionH>
          <wp:positionV relativeFrom="page">
            <wp:posOffset>228601</wp:posOffset>
          </wp:positionV>
          <wp:extent cx="2933065" cy="828675"/>
          <wp:effectExtent l="0" t="0" r="0" b="0"/>
          <wp:wrapSquare wrapText="bothSides"/>
          <wp:docPr id="2"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2"/>
                  <a:stretch>
                    <a:fillRect/>
                  </a:stretch>
                </pic:blipFill>
                <pic:spPr>
                  <a:xfrm>
                    <a:off x="0" y="0"/>
                    <a:ext cx="2933065" cy="82867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46E" w:rsidRDefault="00C0546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BFE"/>
    <w:multiLevelType w:val="hybridMultilevel"/>
    <w:tmpl w:val="1B2230A2"/>
    <w:lvl w:ilvl="0" w:tplc="22AEF69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D50E212">
      <w:start w:val="3"/>
      <w:numFmt w:val="upperRoman"/>
      <w:lvlText w:val="%2."/>
      <w:lvlJc w:val="left"/>
      <w:pPr>
        <w:ind w:left="10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46AEE6">
      <w:start w:val="1"/>
      <w:numFmt w:val="lowerRoman"/>
      <w:lvlText w:val="%3"/>
      <w:lvlJc w:val="left"/>
      <w:pPr>
        <w:ind w:left="16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8208B2">
      <w:start w:val="1"/>
      <w:numFmt w:val="decimal"/>
      <w:lvlText w:val="%4"/>
      <w:lvlJc w:val="left"/>
      <w:pPr>
        <w:ind w:left="2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3B887C8">
      <w:start w:val="1"/>
      <w:numFmt w:val="lowerLetter"/>
      <w:lvlText w:val="%5"/>
      <w:lvlJc w:val="left"/>
      <w:pPr>
        <w:ind w:left="3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008E958">
      <w:start w:val="1"/>
      <w:numFmt w:val="lowerRoman"/>
      <w:lvlText w:val="%6"/>
      <w:lvlJc w:val="left"/>
      <w:pPr>
        <w:ind w:left="38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B2B4DC">
      <w:start w:val="1"/>
      <w:numFmt w:val="decimal"/>
      <w:lvlText w:val="%7"/>
      <w:lvlJc w:val="left"/>
      <w:pPr>
        <w:ind w:left="45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9204728">
      <w:start w:val="1"/>
      <w:numFmt w:val="lowerLetter"/>
      <w:lvlText w:val="%8"/>
      <w:lvlJc w:val="left"/>
      <w:pPr>
        <w:ind w:left="5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3846D5A">
      <w:start w:val="1"/>
      <w:numFmt w:val="lowerRoman"/>
      <w:lvlText w:val="%9"/>
      <w:lvlJc w:val="left"/>
      <w:pPr>
        <w:ind w:left="59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2F8115C"/>
    <w:multiLevelType w:val="hybridMultilevel"/>
    <w:tmpl w:val="4F862388"/>
    <w:lvl w:ilvl="0" w:tplc="607CEA5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E47D3E">
      <w:start w:val="1"/>
      <w:numFmt w:val="bullet"/>
      <w:lvlText w:val="o"/>
      <w:lvlJc w:val="left"/>
      <w:pPr>
        <w:ind w:left="7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A00E0E">
      <w:start w:val="1"/>
      <w:numFmt w:val="bullet"/>
      <w:lvlRestart w:val="0"/>
      <w:lvlText w:val="•"/>
      <w:lvlJc w:val="left"/>
      <w:pPr>
        <w:ind w:left="1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F4107C">
      <w:start w:val="1"/>
      <w:numFmt w:val="bullet"/>
      <w:lvlText w:val="•"/>
      <w:lvlJc w:val="left"/>
      <w:pPr>
        <w:ind w:left="1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EE3B3A">
      <w:start w:val="1"/>
      <w:numFmt w:val="bullet"/>
      <w:lvlText w:val="o"/>
      <w:lvlJc w:val="left"/>
      <w:pPr>
        <w:ind w:left="25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06C4EB8">
      <w:start w:val="1"/>
      <w:numFmt w:val="bullet"/>
      <w:lvlText w:val="▪"/>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6A2DB72">
      <w:start w:val="1"/>
      <w:numFmt w:val="bullet"/>
      <w:lvlText w:val="•"/>
      <w:lvlJc w:val="left"/>
      <w:pPr>
        <w:ind w:left="4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7A1184">
      <w:start w:val="1"/>
      <w:numFmt w:val="bullet"/>
      <w:lvlText w:val="o"/>
      <w:lvlJc w:val="left"/>
      <w:pPr>
        <w:ind w:left="47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8940310">
      <w:start w:val="1"/>
      <w:numFmt w:val="bullet"/>
      <w:lvlText w:val="▪"/>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01467DB"/>
    <w:multiLevelType w:val="hybridMultilevel"/>
    <w:tmpl w:val="1C486BDE"/>
    <w:lvl w:ilvl="0" w:tplc="9FBC5DC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102754">
      <w:start w:val="1"/>
      <w:numFmt w:val="bullet"/>
      <w:lvlText w:val="o"/>
      <w:lvlJc w:val="left"/>
      <w:pPr>
        <w:ind w:left="7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D89880">
      <w:start w:val="1"/>
      <w:numFmt w:val="bullet"/>
      <w:lvlRestart w:val="0"/>
      <w:lvlText w:val="•"/>
      <w:lvlJc w:val="left"/>
      <w:pPr>
        <w:ind w:left="1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BC8CB0">
      <w:start w:val="1"/>
      <w:numFmt w:val="bullet"/>
      <w:lvlText w:val="•"/>
      <w:lvlJc w:val="left"/>
      <w:pPr>
        <w:ind w:left="1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1668B2">
      <w:start w:val="1"/>
      <w:numFmt w:val="bullet"/>
      <w:lvlText w:val="o"/>
      <w:lvlJc w:val="left"/>
      <w:pPr>
        <w:ind w:left="25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CDEEE2A">
      <w:start w:val="1"/>
      <w:numFmt w:val="bullet"/>
      <w:lvlText w:val="▪"/>
      <w:lvlJc w:val="left"/>
      <w:pPr>
        <w:ind w:left="32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196BAFC">
      <w:start w:val="1"/>
      <w:numFmt w:val="bullet"/>
      <w:lvlText w:val="•"/>
      <w:lvlJc w:val="left"/>
      <w:pPr>
        <w:ind w:left="39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78FBD0">
      <w:start w:val="1"/>
      <w:numFmt w:val="bullet"/>
      <w:lvlText w:val="o"/>
      <w:lvlJc w:val="left"/>
      <w:pPr>
        <w:ind w:left="47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DE888EC">
      <w:start w:val="1"/>
      <w:numFmt w:val="bullet"/>
      <w:lvlText w:val="▪"/>
      <w:lvlJc w:val="left"/>
      <w:pPr>
        <w:ind w:left="54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A451EBC"/>
    <w:multiLevelType w:val="hybridMultilevel"/>
    <w:tmpl w:val="9EB40A02"/>
    <w:lvl w:ilvl="0" w:tplc="5AB8CA1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76E524">
      <w:start w:val="1"/>
      <w:numFmt w:val="lowerLetter"/>
      <w:lvlText w:val="%2"/>
      <w:lvlJc w:val="left"/>
      <w:pPr>
        <w:ind w:left="8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406E24">
      <w:start w:val="1"/>
      <w:numFmt w:val="lowerLetter"/>
      <w:lvlRestart w:val="0"/>
      <w:lvlText w:val="%3."/>
      <w:lvlJc w:val="left"/>
      <w:pPr>
        <w:ind w:left="13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32656A">
      <w:start w:val="1"/>
      <w:numFmt w:val="decimal"/>
      <w:lvlText w:val="%4"/>
      <w:lvlJc w:val="left"/>
      <w:pPr>
        <w:ind w:left="2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1C47BE">
      <w:start w:val="1"/>
      <w:numFmt w:val="lowerLetter"/>
      <w:lvlText w:val="%5"/>
      <w:lvlJc w:val="left"/>
      <w:pPr>
        <w:ind w:left="2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82D1F4">
      <w:start w:val="1"/>
      <w:numFmt w:val="lowerRoman"/>
      <w:lvlText w:val="%6"/>
      <w:lvlJc w:val="left"/>
      <w:pPr>
        <w:ind w:left="3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D04F06">
      <w:start w:val="1"/>
      <w:numFmt w:val="decimal"/>
      <w:lvlText w:val="%7"/>
      <w:lvlJc w:val="left"/>
      <w:pPr>
        <w:ind w:left="4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D6B490">
      <w:start w:val="1"/>
      <w:numFmt w:val="lowerLetter"/>
      <w:lvlText w:val="%8"/>
      <w:lvlJc w:val="left"/>
      <w:pPr>
        <w:ind w:left="5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70A1DE">
      <w:start w:val="1"/>
      <w:numFmt w:val="lowerRoman"/>
      <w:lvlText w:val="%9"/>
      <w:lvlJc w:val="left"/>
      <w:pPr>
        <w:ind w:left="5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1B7046"/>
    <w:multiLevelType w:val="hybridMultilevel"/>
    <w:tmpl w:val="E7DEB7A0"/>
    <w:lvl w:ilvl="0" w:tplc="22161646">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BEE9A9E">
      <w:start w:val="1"/>
      <w:numFmt w:val="bullet"/>
      <w:lvlText w:val="•"/>
      <w:lvlJc w:val="left"/>
      <w:pPr>
        <w:ind w:left="1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5A48B4">
      <w:start w:val="1"/>
      <w:numFmt w:val="bullet"/>
      <w:lvlText w:val="▪"/>
      <w:lvlJc w:val="left"/>
      <w:pPr>
        <w:ind w:left="16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422E0C">
      <w:start w:val="1"/>
      <w:numFmt w:val="bullet"/>
      <w:lvlText w:val="•"/>
      <w:lvlJc w:val="left"/>
      <w:pPr>
        <w:ind w:left="2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A81696">
      <w:start w:val="1"/>
      <w:numFmt w:val="bullet"/>
      <w:lvlText w:val="o"/>
      <w:lvlJc w:val="left"/>
      <w:pPr>
        <w:ind w:left="31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21C2656">
      <w:start w:val="1"/>
      <w:numFmt w:val="bullet"/>
      <w:lvlText w:val="▪"/>
      <w:lvlJc w:val="left"/>
      <w:pPr>
        <w:ind w:left="38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30B52A">
      <w:start w:val="1"/>
      <w:numFmt w:val="bullet"/>
      <w:lvlText w:val="•"/>
      <w:lvlJc w:val="left"/>
      <w:pPr>
        <w:ind w:left="45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42D960">
      <w:start w:val="1"/>
      <w:numFmt w:val="bullet"/>
      <w:lvlText w:val="o"/>
      <w:lvlJc w:val="left"/>
      <w:pPr>
        <w:ind w:left="52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A648CC">
      <w:start w:val="1"/>
      <w:numFmt w:val="bullet"/>
      <w:lvlText w:val="▪"/>
      <w:lvlJc w:val="left"/>
      <w:pPr>
        <w:ind w:left="60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6E"/>
    <w:rsid w:val="007E655D"/>
    <w:rsid w:val="00C0546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2EAF1-0A98-4792-B7EC-778CE62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4" w:lineRule="auto"/>
      <w:ind w:left="370" w:right="6" w:hanging="10"/>
      <w:jc w:val="both"/>
    </w:pPr>
    <w:rPr>
      <w:rFonts w:ascii="Calibri" w:eastAsia="Calibri" w:hAnsi="Calibri" w:cs="Calibri"/>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acioncontinua.sep.gob.m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formacioncontinua.sep.gob.m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cioncontinua.sep.gob.m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formacioncontinua.sep.gob.m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50.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11" Type="http://schemas.openxmlformats.org/officeDocument/2006/relationships/image" Target="media/image5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1543</Words>
  <Characters>8490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Tecnicos Inside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cp:lastModifiedBy>Windows 10 NG (Plus)</cp:lastModifiedBy>
  <cp:revision>2</cp:revision>
  <dcterms:created xsi:type="dcterms:W3CDTF">2025-02-26T21:19:00Z</dcterms:created>
  <dcterms:modified xsi:type="dcterms:W3CDTF">2025-02-26T21:19:00Z</dcterms:modified>
</cp:coreProperties>
</file>